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40462F">
      <w:pPr>
        <w:spacing w:after="156" w:afterLines="50" w:line="57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 1</w:t>
      </w:r>
    </w:p>
    <w:bookmarkEnd w:id="0"/>
    <w:p w14:paraId="3E8864F9">
      <w:pPr>
        <w:spacing w:after="156" w:afterLines="50" w:line="57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×××项目建设方案</w:t>
      </w:r>
    </w:p>
    <w:p w14:paraId="2D6966D9">
      <w:pPr>
        <w:spacing w:after="156" w:afterLines="50" w:line="570" w:lineRule="exact"/>
        <w:jc w:val="center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（牵头部门：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</w:p>
    <w:p w14:paraId="12BEE0F0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一、项目名称</w:t>
      </w:r>
    </w:p>
    <w:p w14:paraId="72DADA66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二、当年度目标</w:t>
      </w:r>
    </w:p>
    <w:p w14:paraId="5E824D06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三、建设内容</w:t>
      </w:r>
    </w:p>
    <w:p w14:paraId="627ABAF3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四、建设思路及举措</w:t>
      </w:r>
    </w:p>
    <w:p w14:paraId="75A4C313">
      <w:pPr>
        <w:spacing w:line="57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五、牵头单位及协同单位</w:t>
      </w:r>
    </w:p>
    <w:p w14:paraId="0C800ACC">
      <w:pPr>
        <w:spacing w:line="570" w:lineRule="exact"/>
        <w:rPr>
          <w:rFonts w:hint="eastAsia" w:ascii="黑体" w:hAnsi="黑体" w:eastAsia="仿宋_GB2312" w:cs="黑体"/>
          <w:sz w:val="36"/>
          <w:szCs w:val="36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六、经费预算及说明</w:t>
      </w:r>
    </w:p>
    <w:p w14:paraId="17A216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BF167A-3E27-4329-8D33-C837E42698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D675029-E943-49A0-AA1C-3075B02550A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0D771A3-AF79-4480-B3F5-E13B8FE7FD3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2BE529A-9F72-4469-AE93-A6AC8CBA1C2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51EBCE3-7195-406B-AB52-8E6CE15EA9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0AF4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8B833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8B833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GU4Y2MyYzIxNTEzMjU0MzA0ZWQzZDc1NTg3NDMifQ=="/>
  </w:docVars>
  <w:rsids>
    <w:rsidRoot w:val="61CE5872"/>
    <w:rsid w:val="61CE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2024-11-05T07:20:00Z</dcterms:created>
  <dc:creator>李兵</dc:creator>
  <cp:lastModifiedBy>李兵</cp:lastModifiedBy>
  <dcterms:modified xsi:type="dcterms:W3CDTF">2024-11-05T07:20:20Z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5152019B47DB4BF7AC0800735C0792FE_11</vt:lpwstr>
  </property>
</Properties>
</file>